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12C8" w14:textId="77777777" w:rsidR="00BD1116" w:rsidRDefault="00BD1116" w:rsidP="00BD1116">
      <w:pPr>
        <w:spacing w:after="0" w:line="360" w:lineRule="auto"/>
        <w:ind w:left="35" w:right="14" w:firstLine="6"/>
        <w:jc w:val="left"/>
        <w:rPr>
          <w:szCs w:val="24"/>
          <w:lang w:val="pl-PL"/>
        </w:rPr>
      </w:pPr>
    </w:p>
    <w:p w14:paraId="0BC35827" w14:textId="77777777" w:rsidR="00BD1116" w:rsidRPr="00DA35DC" w:rsidRDefault="00BD1116" w:rsidP="00BD1116">
      <w:pPr>
        <w:spacing w:after="0" w:line="360" w:lineRule="auto"/>
        <w:ind w:left="7080" w:right="14" w:firstLine="0"/>
        <w:rPr>
          <w:sz w:val="16"/>
          <w:szCs w:val="16"/>
          <w:lang w:val="pl-PL"/>
        </w:rPr>
      </w:pPr>
      <w:r w:rsidRPr="00DA35DC">
        <w:rPr>
          <w:sz w:val="16"/>
          <w:szCs w:val="16"/>
          <w:lang w:val="pl-PL"/>
        </w:rPr>
        <w:t>Załącznik Nr 1 do Uchwały Nr 4/XIV/2023 Rady Nadzorczej Textilimpex Sp. z</w:t>
      </w:r>
      <w:r>
        <w:rPr>
          <w:sz w:val="16"/>
          <w:szCs w:val="16"/>
          <w:lang w:val="pl-PL"/>
        </w:rPr>
        <w:t xml:space="preserve"> </w:t>
      </w:r>
      <w:r w:rsidRPr="00DA35DC">
        <w:rPr>
          <w:sz w:val="16"/>
          <w:szCs w:val="16"/>
          <w:lang w:val="pl-PL"/>
        </w:rPr>
        <w:t xml:space="preserve">o.o.  </w:t>
      </w:r>
      <w:r w:rsidRPr="00DA35DC">
        <w:rPr>
          <w:sz w:val="16"/>
          <w:szCs w:val="16"/>
          <w:lang w:val="pl-PL"/>
        </w:rPr>
        <w:br/>
        <w:t>z dnia 19.07.2023</w:t>
      </w:r>
    </w:p>
    <w:p w14:paraId="60198D4F" w14:textId="77777777" w:rsidR="00BD1116" w:rsidRPr="0056598F" w:rsidRDefault="00BD1116" w:rsidP="00BD1116">
      <w:pPr>
        <w:spacing w:after="0" w:line="360" w:lineRule="auto"/>
        <w:ind w:left="6372" w:right="14" w:firstLine="0"/>
        <w:jc w:val="left"/>
        <w:rPr>
          <w:sz w:val="20"/>
          <w:szCs w:val="20"/>
          <w:lang w:val="pl-PL"/>
        </w:rPr>
      </w:pPr>
    </w:p>
    <w:p w14:paraId="4F4EF1EE" w14:textId="77777777" w:rsidR="00BD1116" w:rsidRPr="0056598F" w:rsidRDefault="00BD1116" w:rsidP="00BD1116">
      <w:pPr>
        <w:spacing w:after="0" w:line="360" w:lineRule="auto"/>
        <w:ind w:left="6372" w:right="14" w:firstLine="0"/>
        <w:jc w:val="left"/>
        <w:rPr>
          <w:b/>
          <w:bCs/>
          <w:sz w:val="20"/>
          <w:szCs w:val="20"/>
          <w:lang w:val="pl-PL"/>
        </w:rPr>
      </w:pPr>
    </w:p>
    <w:p w14:paraId="22A41653" w14:textId="77777777" w:rsidR="00BD1116" w:rsidRPr="0056598F" w:rsidRDefault="00BD1116" w:rsidP="00BD1116">
      <w:pPr>
        <w:spacing w:after="0" w:line="360" w:lineRule="auto"/>
        <w:ind w:right="14"/>
        <w:jc w:val="center"/>
        <w:rPr>
          <w:b/>
          <w:bCs/>
          <w:sz w:val="20"/>
          <w:szCs w:val="20"/>
          <w:u w:val="single"/>
          <w:lang w:val="pl-PL"/>
        </w:rPr>
      </w:pPr>
      <w:r w:rsidRPr="0056598F">
        <w:rPr>
          <w:b/>
          <w:bCs/>
          <w:sz w:val="20"/>
          <w:szCs w:val="20"/>
          <w:u w:val="single"/>
          <w:lang w:val="pl-PL"/>
        </w:rPr>
        <w:t>Zaproszenie do składania ofert na badanie sprawozdań finansowych</w:t>
      </w:r>
    </w:p>
    <w:p w14:paraId="0BF91FFC" w14:textId="77777777" w:rsidR="00BD1116" w:rsidRPr="0056598F" w:rsidRDefault="00BD1116" w:rsidP="00BD1116">
      <w:pPr>
        <w:spacing w:after="0" w:line="360" w:lineRule="auto"/>
        <w:ind w:right="14"/>
        <w:jc w:val="center"/>
        <w:rPr>
          <w:b/>
          <w:bCs/>
          <w:sz w:val="20"/>
          <w:szCs w:val="20"/>
          <w:u w:val="single"/>
          <w:lang w:val="pl-PL"/>
        </w:rPr>
      </w:pPr>
    </w:p>
    <w:p w14:paraId="6F4CB201" w14:textId="77777777" w:rsidR="00BD1116" w:rsidRPr="007D5218" w:rsidRDefault="00BD1116" w:rsidP="00BD1116">
      <w:pPr>
        <w:spacing w:after="0" w:line="360" w:lineRule="auto"/>
        <w:ind w:right="14"/>
        <w:jc w:val="center"/>
        <w:rPr>
          <w:b/>
          <w:bCs/>
          <w:sz w:val="20"/>
          <w:szCs w:val="20"/>
          <w:lang w:val="pl-PL"/>
        </w:rPr>
      </w:pPr>
      <w:r w:rsidRPr="007D5218">
        <w:rPr>
          <w:b/>
          <w:bCs/>
          <w:sz w:val="20"/>
          <w:szCs w:val="20"/>
          <w:lang w:val="pl-PL"/>
        </w:rPr>
        <w:t>Rada Nadzorcza Textilimpex Sp. z o.o. z siedzibą w Łodzi,</w:t>
      </w:r>
    </w:p>
    <w:p w14:paraId="6C55B7B0" w14:textId="77777777" w:rsidR="00BD1116" w:rsidRPr="007D5218" w:rsidRDefault="00BD1116" w:rsidP="00BD1116">
      <w:pPr>
        <w:spacing w:after="0" w:line="360" w:lineRule="auto"/>
        <w:ind w:right="14"/>
        <w:jc w:val="center"/>
        <w:rPr>
          <w:b/>
          <w:bCs/>
          <w:sz w:val="20"/>
          <w:szCs w:val="20"/>
          <w:lang w:val="pl-PL"/>
        </w:rPr>
      </w:pPr>
      <w:r w:rsidRPr="007D5218">
        <w:rPr>
          <w:b/>
          <w:bCs/>
          <w:sz w:val="20"/>
          <w:szCs w:val="20"/>
          <w:lang w:val="pl-PL"/>
        </w:rPr>
        <w:t xml:space="preserve"> ul. Traugutta 25, 90-113 Łódź</w:t>
      </w:r>
    </w:p>
    <w:p w14:paraId="2F74C75C" w14:textId="77777777" w:rsidR="00BD1116" w:rsidRPr="007D5218" w:rsidRDefault="00BD1116" w:rsidP="00BD1116">
      <w:pPr>
        <w:spacing w:after="0" w:line="360" w:lineRule="auto"/>
        <w:ind w:right="14"/>
        <w:rPr>
          <w:b/>
          <w:bCs/>
          <w:sz w:val="20"/>
          <w:szCs w:val="20"/>
          <w:lang w:val="pl-PL"/>
        </w:rPr>
      </w:pPr>
    </w:p>
    <w:p w14:paraId="2E10E7F8" w14:textId="77777777" w:rsidR="00BD1116" w:rsidRPr="007D5218" w:rsidRDefault="00BD1116" w:rsidP="00BD1116">
      <w:pPr>
        <w:spacing w:after="0" w:line="360" w:lineRule="auto"/>
        <w:ind w:right="14"/>
        <w:rPr>
          <w:b/>
          <w:bCs/>
          <w:sz w:val="20"/>
          <w:szCs w:val="20"/>
          <w:lang w:val="pl-PL"/>
        </w:rPr>
      </w:pPr>
      <w:r w:rsidRPr="007D5218">
        <w:rPr>
          <w:b/>
          <w:bCs/>
          <w:sz w:val="20"/>
          <w:szCs w:val="20"/>
          <w:lang w:val="pl-PL"/>
        </w:rPr>
        <w:t>zaprasza firmy audytorskie, w rozumieniu art.46 ustawy o biegłych rewidentach, firmach audytorskich oraz nadzorze publicznym, uprawnione do badania sprawozdań finansowych do składania ofert na badanie sprawozdań finansowych Textilimpex Sp. z o.o. za rok obrotowy 202</w:t>
      </w:r>
      <w:r>
        <w:rPr>
          <w:b/>
          <w:bCs/>
          <w:sz w:val="20"/>
          <w:szCs w:val="20"/>
          <w:lang w:val="pl-PL"/>
        </w:rPr>
        <w:t>3 i rok obrotowy 2024.</w:t>
      </w:r>
    </w:p>
    <w:p w14:paraId="599FDCE0" w14:textId="77777777" w:rsidR="00BD1116" w:rsidRPr="0056598F" w:rsidRDefault="00BD1116" w:rsidP="00BD1116">
      <w:pPr>
        <w:spacing w:after="0" w:line="360" w:lineRule="auto"/>
        <w:ind w:right="14"/>
        <w:rPr>
          <w:sz w:val="20"/>
          <w:szCs w:val="20"/>
          <w:lang w:val="pl-PL"/>
        </w:rPr>
      </w:pPr>
    </w:p>
    <w:p w14:paraId="64E957A9" w14:textId="77777777" w:rsidR="00BD1116" w:rsidRPr="0056598F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sz w:val="20"/>
          <w:szCs w:val="20"/>
          <w:lang w:val="pl-PL"/>
        </w:rPr>
      </w:pPr>
      <w:r w:rsidRPr="0056598F">
        <w:rPr>
          <w:sz w:val="20"/>
          <w:szCs w:val="20"/>
          <w:lang w:val="pl-PL"/>
        </w:rPr>
        <w:t>Przedmiotem zamówienia jest badanie sprawozdań finansowych Textilimpex Sp. z o.o.: za rok obrotowy 202</w:t>
      </w:r>
      <w:r>
        <w:rPr>
          <w:sz w:val="20"/>
          <w:szCs w:val="20"/>
          <w:lang w:val="pl-PL"/>
        </w:rPr>
        <w:t>3</w:t>
      </w:r>
      <w:r w:rsidRPr="0056598F">
        <w:rPr>
          <w:sz w:val="20"/>
          <w:szCs w:val="20"/>
          <w:lang w:val="pl-PL"/>
        </w:rPr>
        <w:t xml:space="preserve"> i za rok obrotowy 202</w:t>
      </w:r>
      <w:r>
        <w:rPr>
          <w:sz w:val="20"/>
          <w:szCs w:val="20"/>
          <w:lang w:val="pl-PL"/>
        </w:rPr>
        <w:t>4</w:t>
      </w:r>
      <w:r w:rsidRPr="0056598F">
        <w:rPr>
          <w:sz w:val="20"/>
          <w:szCs w:val="20"/>
          <w:lang w:val="pl-PL"/>
        </w:rPr>
        <w:t xml:space="preserve"> oraz sporządzenie pisemnych sprawozdań z ich badania, które powinny zawierać wskazanie, czy sprawozdanie finansowe jest prawidłowe oraz rzetelnie i jasno przedstawia sytuację majątkową i finansową, jak też wynik finansowy Spółki.</w:t>
      </w:r>
    </w:p>
    <w:p w14:paraId="66D4E9E0" w14:textId="77777777" w:rsidR="00BD1116" w:rsidRPr="0056598F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sz w:val="20"/>
          <w:szCs w:val="20"/>
          <w:lang w:val="pl-PL"/>
        </w:rPr>
      </w:pPr>
      <w:r w:rsidRPr="0056598F">
        <w:rPr>
          <w:sz w:val="20"/>
          <w:szCs w:val="20"/>
          <w:lang w:val="pl-PL"/>
        </w:rPr>
        <w:t>Metodą pełną powinny być zbadane dokumenty z obszaru:</w:t>
      </w:r>
    </w:p>
    <w:p w14:paraId="111D1D68" w14:textId="77777777" w:rsidR="00BD1116" w:rsidRPr="0056598F" w:rsidRDefault="00BD1116" w:rsidP="00BD1116">
      <w:pPr>
        <w:pStyle w:val="Akapitzlist"/>
        <w:numPr>
          <w:ilvl w:val="0"/>
          <w:numId w:val="2"/>
        </w:numPr>
        <w:spacing w:after="136" w:line="276" w:lineRule="auto"/>
        <w:ind w:right="14"/>
        <w:jc w:val="left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kosztów Zarządu</w:t>
      </w:r>
      <w:r>
        <w:rPr>
          <w:rFonts w:eastAsiaTheme="minorHAnsi" w:cstheme="minorBidi"/>
          <w:bCs/>
          <w:color w:val="auto"/>
          <w:sz w:val="20"/>
          <w:szCs w:val="20"/>
          <w:lang w:val="pl-PL"/>
        </w:rPr>
        <w:t xml:space="preserve"> </w:t>
      </w:r>
    </w:p>
    <w:p w14:paraId="24FDC8E5" w14:textId="77777777" w:rsidR="00BD1116" w:rsidRPr="0056598F" w:rsidRDefault="00BD1116" w:rsidP="00BD1116">
      <w:pPr>
        <w:pStyle w:val="Akapitzlist"/>
        <w:numPr>
          <w:ilvl w:val="0"/>
          <w:numId w:val="2"/>
        </w:numPr>
        <w:spacing w:after="136" w:line="276" w:lineRule="auto"/>
        <w:ind w:right="14"/>
        <w:jc w:val="left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kosztów sprzedaży</w:t>
      </w:r>
    </w:p>
    <w:p w14:paraId="3710AFD1" w14:textId="77777777" w:rsidR="00BD1116" w:rsidRPr="0056598F" w:rsidRDefault="00BD1116" w:rsidP="00BD1116">
      <w:pPr>
        <w:pStyle w:val="Akapitzlist"/>
        <w:numPr>
          <w:ilvl w:val="0"/>
          <w:numId w:val="2"/>
        </w:numPr>
        <w:spacing w:after="136" w:line="276" w:lineRule="auto"/>
        <w:ind w:right="14"/>
        <w:jc w:val="left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pozostałych kosztów i przychodów operacyjnych</w:t>
      </w:r>
    </w:p>
    <w:p w14:paraId="1635A85D" w14:textId="77777777" w:rsidR="00BD1116" w:rsidRPr="0056598F" w:rsidRDefault="00BD1116" w:rsidP="00BD1116">
      <w:pPr>
        <w:pStyle w:val="Akapitzlist"/>
        <w:numPr>
          <w:ilvl w:val="0"/>
          <w:numId w:val="2"/>
        </w:numPr>
        <w:spacing w:after="136" w:line="276" w:lineRule="auto"/>
        <w:ind w:right="14"/>
        <w:jc w:val="left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kosztów i przychodów finansowych</w:t>
      </w:r>
    </w:p>
    <w:p w14:paraId="2388BD8C" w14:textId="77777777" w:rsidR="00BD1116" w:rsidRPr="0056598F" w:rsidRDefault="00BD1116" w:rsidP="00BD1116">
      <w:pPr>
        <w:pStyle w:val="Akapitzlist"/>
        <w:numPr>
          <w:ilvl w:val="0"/>
          <w:numId w:val="2"/>
        </w:numPr>
        <w:spacing w:after="136" w:line="276" w:lineRule="auto"/>
        <w:ind w:right="14"/>
        <w:jc w:val="left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rezerw i odpisów aktualizacyjnych</w:t>
      </w:r>
    </w:p>
    <w:p w14:paraId="4FDC5B75" w14:textId="77777777" w:rsidR="00BD1116" w:rsidRPr="0056598F" w:rsidRDefault="00BD1116" w:rsidP="00BD1116">
      <w:pPr>
        <w:pStyle w:val="Akapitzlist"/>
        <w:numPr>
          <w:ilvl w:val="0"/>
          <w:numId w:val="2"/>
        </w:numPr>
        <w:spacing w:after="136" w:line="276" w:lineRule="auto"/>
        <w:ind w:right="14"/>
        <w:jc w:val="left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umów różnego rodzaju pośrednictwa</w:t>
      </w:r>
    </w:p>
    <w:p w14:paraId="53AD68CD" w14:textId="77777777" w:rsidR="00BD1116" w:rsidRPr="0056598F" w:rsidRDefault="00BD1116" w:rsidP="00BD1116">
      <w:pPr>
        <w:spacing w:after="0" w:line="360" w:lineRule="auto"/>
        <w:ind w:right="14"/>
        <w:rPr>
          <w:rFonts w:eastAsiaTheme="minorHAnsi" w:cstheme="minorBidi"/>
          <w:bCs/>
          <w:color w:val="auto"/>
          <w:sz w:val="20"/>
          <w:szCs w:val="20"/>
          <w:lang w:val="pl-PL"/>
        </w:rPr>
      </w:pPr>
      <w:r w:rsidRPr="0056598F">
        <w:rPr>
          <w:rFonts w:eastAsiaTheme="minorHAnsi" w:cstheme="minorBidi"/>
          <w:bCs/>
          <w:color w:val="auto"/>
          <w:sz w:val="20"/>
          <w:szCs w:val="20"/>
          <w:lang w:val="pl-PL"/>
        </w:rPr>
        <w:t>oraz wydatków poniesionych na reprezentację, usługi marketingowe i prawne</w:t>
      </w:r>
    </w:p>
    <w:p w14:paraId="3E9A5D62" w14:textId="77777777" w:rsidR="00BD1116" w:rsidRPr="0056598F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sz w:val="20"/>
          <w:szCs w:val="20"/>
          <w:lang w:val="pl-PL"/>
        </w:rPr>
      </w:pPr>
      <w:r w:rsidRPr="0056598F">
        <w:rPr>
          <w:sz w:val="20"/>
          <w:szCs w:val="20"/>
          <w:lang w:val="pl-PL"/>
        </w:rPr>
        <w:t>Oferta powinna zawierać:</w:t>
      </w:r>
    </w:p>
    <w:p w14:paraId="42FD5B6F" w14:textId="77777777" w:rsidR="00BD1116" w:rsidRPr="0056598F" w:rsidRDefault="00BD1116" w:rsidP="00BD1116">
      <w:pPr>
        <w:pStyle w:val="Akapitzlist"/>
        <w:numPr>
          <w:ilvl w:val="0"/>
          <w:numId w:val="3"/>
        </w:numPr>
        <w:spacing w:after="0" w:line="360" w:lineRule="auto"/>
        <w:ind w:right="14"/>
        <w:rPr>
          <w:sz w:val="20"/>
          <w:szCs w:val="20"/>
          <w:lang w:val="pl-PL"/>
        </w:rPr>
      </w:pPr>
      <w:r w:rsidRPr="0056598F">
        <w:rPr>
          <w:sz w:val="20"/>
          <w:szCs w:val="20"/>
          <w:lang w:val="pl-PL"/>
        </w:rPr>
        <w:t>Informacje o oferencie, w tym:</w:t>
      </w:r>
    </w:p>
    <w:p w14:paraId="0CA97B35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 w:rsidRPr="0056598F">
        <w:rPr>
          <w:sz w:val="20"/>
          <w:szCs w:val="20"/>
          <w:lang w:val="pl-PL"/>
        </w:rPr>
        <w:t>- forma prowadzenia działalności oraz aktualny odpis z właściwego rejestru/ewidencji</w:t>
      </w:r>
      <w:r>
        <w:rPr>
          <w:sz w:val="20"/>
          <w:szCs w:val="20"/>
          <w:lang w:val="pl-PL"/>
        </w:rPr>
        <w:t>,</w:t>
      </w:r>
    </w:p>
    <w:p w14:paraId="5CE8577A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aktualny dokument potwierdzający wpis do rejestru biegłych rewidentów osób, które będą przeprowadzać badanie, w tym kluczowego biegłego rewidenta,</w:t>
      </w:r>
    </w:p>
    <w:p w14:paraId="5870B823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aktualny dokument potwierdzający wpis na listę podmiotów uprawnionych do badania sprawozdań finansowych,</w:t>
      </w:r>
    </w:p>
    <w:p w14:paraId="7755083A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-liczba zatrudnionych biegłych rewidentów, w tym na podstawie umowy o pracę,</w:t>
      </w:r>
    </w:p>
    <w:p w14:paraId="1429A065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informacja o pozycji firmy audytorskiej na rynku usług audytorskich, jej doświadczeniu w badaniu sprawozdań finansowych, w tym sprawozdań finansowych podmiotów z branży, w której działa Spółka,</w:t>
      </w:r>
    </w:p>
    <w:p w14:paraId="1BFAF7F8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liczba podmiotów badanych w latach</w:t>
      </w:r>
      <w:r w:rsidRPr="005C57BB">
        <w:rPr>
          <w:color w:val="auto"/>
          <w:sz w:val="20"/>
          <w:szCs w:val="20"/>
          <w:lang w:val="pl-PL"/>
        </w:rPr>
        <w:t xml:space="preserve">: </w:t>
      </w:r>
      <w:r w:rsidRPr="00105951">
        <w:rPr>
          <w:b/>
          <w:bCs/>
          <w:color w:val="auto"/>
          <w:sz w:val="20"/>
          <w:szCs w:val="20"/>
          <w:lang w:val="pl-PL"/>
        </w:rPr>
        <w:t>2014-2022</w:t>
      </w:r>
      <w:r w:rsidRPr="00105951">
        <w:rPr>
          <w:color w:val="auto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wraz ze wskazaniem branży w jakiej badany podmiot działał, w tym wykaz minimum 5 kluczowych podmiotów.</w:t>
      </w:r>
    </w:p>
    <w:p w14:paraId="06079E31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>2. oświadczenie firmy audytorskiej i członków zespołu, który będzie przeprowadzał badanie o:</w:t>
      </w:r>
    </w:p>
    <w:p w14:paraId="6D4C8102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spełnieniu wymogów niezależności, o których mowa w art. 69-73 ustawy z dnia 11 maja 2017 r. o biegłych rewidentach, firmach autorskich oraz nadzorze publicznym ( Dz.U. z 2023 r. poz.1015 z późn.zm.), z uwzględnieniem klauzuli, o której mowa  w art. 74 ust 2 tej ustawy, </w:t>
      </w:r>
    </w:p>
    <w:p w14:paraId="2AFE274F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-dysponowaniu kompetentnymi pracownikami, czasem i innymi zasobami umożliwiającymi odpowiednie przeprowadzenie badania,</w:t>
      </w:r>
    </w:p>
    <w:p w14:paraId="7336C5A8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</w:t>
      </w:r>
      <w:r w:rsidRPr="00DE6413">
        <w:rPr>
          <w:sz w:val="20"/>
          <w:szCs w:val="20"/>
          <w:lang w:val="pl-PL"/>
        </w:rPr>
        <w:t>wyznaczeniu jako kluczowego biegłego rewidenta osoby wpisanej do rejestru biegłych rewidentów i w związku z tym spełnianiu przez nią warunków określonych w art. 4 ust. 2-5 ustawy o biegłych rewidentach</w:t>
      </w:r>
      <w:r>
        <w:rPr>
          <w:sz w:val="20"/>
          <w:szCs w:val="20"/>
          <w:lang w:val="pl-PL"/>
        </w:rPr>
        <w:t>;</w:t>
      </w:r>
    </w:p>
    <w:p w14:paraId="1749B492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3. łączną cenę netto i brutto za badanie obu sprawozdań finansowych Spółki: za rok obrotowy 2023 i za rok obrotowy 2024, uwzgledniającą wszystkie koszty za realizację przedmiotu zamówienia,</w:t>
      </w:r>
    </w:p>
    <w:p w14:paraId="01A1064E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4. wskazanie metod i terminów badania sprawozdań finansowych,</w:t>
      </w:r>
    </w:p>
    <w:p w14:paraId="197B99D5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5. poświadczoną za zgodność z oryginałem kserokopię dokumentów potwierdzających posiadanie przez firmę audytorską ubezpieczenia od odpowiedzialności cywilnej, z tytułu wykonywania czynności rewizji finansowej,</w:t>
      </w:r>
    </w:p>
    <w:p w14:paraId="35C93C66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6. zobowiązanie do udziału na własny koszt kluczowego biegłego rewidenta w posiedzeniach Rady Nadzorczej w sprawie oceny sprawozdań finansowych, o których mowa powyżej oraz do udziału w Zgromadzeniu Wspólników zatwierdzając te sprawozdania, w celu złożenia stosownych wyjaśnień i informacji,</w:t>
      </w:r>
    </w:p>
    <w:p w14:paraId="041EE6FE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7. zobowiązanie do przekazania do wiadomości Rady Nadzorczej informacji o problemach w systemie rachunkowości Spółki sporządzonych przez Zarząd Spółki w formie tzw. Listów intencyjnych.</w:t>
      </w:r>
    </w:p>
    <w:p w14:paraId="30905679" w14:textId="77777777" w:rsidR="00BD1116" w:rsidRPr="00AA7B07" w:rsidRDefault="00BD1116" w:rsidP="00BD1116">
      <w:pPr>
        <w:spacing w:after="0" w:line="360" w:lineRule="auto"/>
        <w:ind w:left="0" w:right="14" w:firstLine="0"/>
        <w:rPr>
          <w:sz w:val="20"/>
          <w:szCs w:val="20"/>
          <w:lang w:val="pl-PL"/>
        </w:rPr>
      </w:pPr>
    </w:p>
    <w:p w14:paraId="2C521C47" w14:textId="77777777" w:rsidR="00BD1116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Wymagany termin zakończenia badania do dni</w:t>
      </w:r>
      <w:r w:rsidRPr="005C57BB">
        <w:rPr>
          <w:color w:val="auto"/>
          <w:sz w:val="20"/>
          <w:szCs w:val="20"/>
          <w:lang w:val="pl-PL"/>
        </w:rPr>
        <w:t xml:space="preserve">a :   </w:t>
      </w:r>
      <w:r w:rsidRPr="005C57BB">
        <w:rPr>
          <w:b/>
          <w:bCs/>
          <w:color w:val="auto"/>
          <w:sz w:val="20"/>
          <w:szCs w:val="20"/>
          <w:lang w:val="pl-PL"/>
        </w:rPr>
        <w:t xml:space="preserve">10.03.  </w:t>
      </w:r>
      <w:r>
        <w:rPr>
          <w:sz w:val="20"/>
          <w:szCs w:val="20"/>
          <w:lang w:val="pl-PL"/>
        </w:rPr>
        <w:t>roku następującego po roku badanym</w:t>
      </w:r>
    </w:p>
    <w:p w14:paraId="65138BBC" w14:textId="77777777" w:rsidR="00BD1116" w:rsidRPr="00DA35DC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b/>
          <w:bCs/>
          <w:color w:val="FF000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Oferty należy przesłać do Rady Nadzorczej na adres siedziby Spółki : ul. Traugutta 25, 90-113 Łódź lub składać w siedzibie Spółki w dni robocze w godz. 9.00-15.00, w zamkniętej kopercie z adnotacją na kopercie: „ Oferta </w:t>
      </w:r>
      <w:r w:rsidRPr="00105951">
        <w:rPr>
          <w:color w:val="auto"/>
          <w:sz w:val="20"/>
          <w:szCs w:val="20"/>
          <w:lang w:val="pl-PL"/>
        </w:rPr>
        <w:t xml:space="preserve">na badanie sprawozdań finansowych za rok 2023 </w:t>
      </w:r>
      <w:r>
        <w:rPr>
          <w:color w:val="auto"/>
          <w:sz w:val="20"/>
          <w:szCs w:val="20"/>
          <w:lang w:val="pl-PL"/>
        </w:rPr>
        <w:t>i 2024</w:t>
      </w:r>
      <w:r w:rsidRPr="00105951">
        <w:rPr>
          <w:color w:val="auto"/>
          <w:sz w:val="20"/>
          <w:szCs w:val="20"/>
          <w:lang w:val="pl-PL"/>
        </w:rPr>
        <w:t xml:space="preserve">” oraz „ Nie otwierać”, w terminie do dnia </w:t>
      </w:r>
      <w:r>
        <w:rPr>
          <w:b/>
          <w:bCs/>
          <w:color w:val="auto"/>
          <w:sz w:val="20"/>
          <w:szCs w:val="20"/>
          <w:lang w:val="pl-PL"/>
        </w:rPr>
        <w:t>29</w:t>
      </w:r>
      <w:r w:rsidRPr="00105951">
        <w:rPr>
          <w:b/>
          <w:bCs/>
          <w:color w:val="auto"/>
          <w:sz w:val="20"/>
          <w:szCs w:val="20"/>
          <w:lang w:val="pl-PL"/>
        </w:rPr>
        <w:t>.09.2023  do godz. 1</w:t>
      </w:r>
      <w:r>
        <w:rPr>
          <w:b/>
          <w:bCs/>
          <w:color w:val="auto"/>
          <w:sz w:val="20"/>
          <w:szCs w:val="20"/>
          <w:lang w:val="pl-PL"/>
        </w:rPr>
        <w:t>5</w:t>
      </w:r>
      <w:r w:rsidRPr="00105951">
        <w:rPr>
          <w:b/>
          <w:bCs/>
          <w:color w:val="auto"/>
          <w:sz w:val="20"/>
          <w:szCs w:val="20"/>
          <w:lang w:val="pl-PL"/>
        </w:rPr>
        <w:t>.00</w:t>
      </w:r>
    </w:p>
    <w:p w14:paraId="39E49120" w14:textId="77777777" w:rsidR="00BD1116" w:rsidRDefault="00BD1116" w:rsidP="00BD1116">
      <w:pPr>
        <w:pStyle w:val="Akapitzlist"/>
        <w:spacing w:after="0" w:line="360" w:lineRule="auto"/>
        <w:ind w:left="386" w:right="14" w:firstLine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 datę złożenia oferty uważa się datę wpływu oferty do siedziby Spółki. Oferty złożone po upływie terminu określonego do ich przyjmowania nie podlegają rozpatrzeniu.</w:t>
      </w:r>
    </w:p>
    <w:p w14:paraId="10A04CB3" w14:textId="77777777" w:rsidR="00BD1116" w:rsidRPr="00105951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color w:val="auto"/>
          <w:sz w:val="20"/>
          <w:szCs w:val="20"/>
          <w:lang w:val="pl-PL"/>
        </w:rPr>
      </w:pPr>
      <w:r w:rsidRPr="00105951">
        <w:rPr>
          <w:color w:val="auto"/>
          <w:sz w:val="20"/>
          <w:szCs w:val="20"/>
          <w:lang w:val="pl-PL"/>
        </w:rPr>
        <w:t xml:space="preserve">Informacja o ilości dokumentów w obszarach, które powinny być zbadane metodą pełną oraz informacje dodatkowe można uzyskać w siedzibie Spółki lub drogą email: sekretariat@textilimpex.pl do dnia </w:t>
      </w:r>
      <w:r>
        <w:rPr>
          <w:b/>
          <w:bCs/>
          <w:color w:val="auto"/>
          <w:sz w:val="20"/>
          <w:szCs w:val="20"/>
          <w:lang w:val="pl-PL"/>
        </w:rPr>
        <w:t>29</w:t>
      </w:r>
      <w:r w:rsidRPr="00105951">
        <w:rPr>
          <w:b/>
          <w:bCs/>
          <w:color w:val="auto"/>
          <w:sz w:val="20"/>
          <w:szCs w:val="20"/>
          <w:lang w:val="pl-PL"/>
        </w:rPr>
        <w:t>.09.2023 w godz. 9</w:t>
      </w:r>
      <w:r>
        <w:rPr>
          <w:b/>
          <w:bCs/>
          <w:color w:val="auto"/>
          <w:sz w:val="20"/>
          <w:szCs w:val="20"/>
          <w:lang w:val="pl-PL"/>
        </w:rPr>
        <w:t>.00</w:t>
      </w:r>
      <w:r w:rsidRPr="00105951">
        <w:rPr>
          <w:b/>
          <w:bCs/>
          <w:color w:val="auto"/>
          <w:sz w:val="20"/>
          <w:szCs w:val="20"/>
          <w:lang w:val="pl-PL"/>
        </w:rPr>
        <w:t>-15.00</w:t>
      </w:r>
      <w:r w:rsidRPr="00105951">
        <w:rPr>
          <w:color w:val="auto"/>
          <w:sz w:val="20"/>
          <w:szCs w:val="20"/>
          <w:lang w:val="pl-PL"/>
        </w:rPr>
        <w:t xml:space="preserve">. </w:t>
      </w:r>
    </w:p>
    <w:p w14:paraId="70AB1ADC" w14:textId="77777777" w:rsidR="00BD1116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Otwarcie kopert z ofertami oraz wybór firmy audytorskiej nastąpi w siedzibie Spółki, do dnia 27.10.2023</w:t>
      </w:r>
      <w:r w:rsidRPr="00DA35DC">
        <w:rPr>
          <w:b/>
          <w:bCs/>
          <w:color w:val="FF0000"/>
          <w:sz w:val="20"/>
          <w:szCs w:val="20"/>
          <w:lang w:val="pl-PL"/>
        </w:rPr>
        <w:t xml:space="preserve"> </w:t>
      </w:r>
      <w:r w:rsidRPr="005C57BB">
        <w:rPr>
          <w:color w:val="auto"/>
          <w:sz w:val="20"/>
          <w:szCs w:val="20"/>
          <w:lang w:val="pl-PL"/>
        </w:rPr>
        <w:t>.</w:t>
      </w:r>
    </w:p>
    <w:p w14:paraId="6F324DB9" w14:textId="77777777" w:rsidR="00BD1116" w:rsidRDefault="00BD1116" w:rsidP="00BD1116">
      <w:pPr>
        <w:pStyle w:val="Akapitzlist"/>
        <w:numPr>
          <w:ilvl w:val="0"/>
          <w:numId w:val="1"/>
        </w:numPr>
        <w:spacing w:after="0" w:line="360" w:lineRule="auto"/>
        <w:ind w:right="1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Rada Nadzorcza zastrzega sobie prawo swobodnego wyboru oferty oraz odstąpienia od wyboru oferty, bez podania przyczyny i ponoszenia jakichkolwiek skutków prawnych i finansowych przez Spółkę.</w:t>
      </w:r>
    </w:p>
    <w:p w14:paraId="77DCB04F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</w:p>
    <w:p w14:paraId="6864BB83" w14:textId="77777777" w:rsidR="00BD1116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</w:p>
    <w:p w14:paraId="7B7A7152" w14:textId="77777777" w:rsidR="00BD1116" w:rsidRPr="0056598F" w:rsidRDefault="00BD1116" w:rsidP="00BD1116">
      <w:pPr>
        <w:pStyle w:val="Akapitzlist"/>
        <w:spacing w:after="0" w:line="360" w:lineRule="auto"/>
        <w:ind w:left="746" w:right="14" w:firstLine="0"/>
        <w:rPr>
          <w:sz w:val="20"/>
          <w:szCs w:val="20"/>
          <w:lang w:val="pl-PL"/>
        </w:rPr>
      </w:pPr>
    </w:p>
    <w:p w14:paraId="31EEA793" w14:textId="77777777" w:rsidR="00B2606C" w:rsidRDefault="00B2606C"/>
    <w:sectPr w:rsidR="00B2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85B"/>
    <w:multiLevelType w:val="hybridMultilevel"/>
    <w:tmpl w:val="0D26D54E"/>
    <w:lvl w:ilvl="0" w:tplc="AB58D100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3530D90"/>
    <w:multiLevelType w:val="hybridMultilevel"/>
    <w:tmpl w:val="0C0C7E46"/>
    <w:lvl w:ilvl="0" w:tplc="372A9BE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5A3905BD"/>
    <w:multiLevelType w:val="hybridMultilevel"/>
    <w:tmpl w:val="F46451B2"/>
    <w:lvl w:ilvl="0" w:tplc="1F5A391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num w:numId="1" w16cid:durableId="593058020">
    <w:abstractNumId w:val="0"/>
  </w:num>
  <w:num w:numId="2" w16cid:durableId="1926382385">
    <w:abstractNumId w:val="2"/>
  </w:num>
  <w:num w:numId="3" w16cid:durableId="167702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16"/>
    <w:rsid w:val="009A44A3"/>
    <w:rsid w:val="00B2606C"/>
    <w:rsid w:val="00B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0189"/>
  <w15:chartTrackingRefBased/>
  <w15:docId w15:val="{91982871-67F2-403C-A6F9-12879766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116"/>
    <w:pPr>
      <w:suppressAutoHyphens/>
      <w:spacing w:after="3" w:line="264" w:lineRule="auto"/>
      <w:ind w:left="22" w:firstLine="4"/>
      <w:jc w:val="both"/>
    </w:pPr>
    <w:rPr>
      <w:rFonts w:ascii="Calibri" w:eastAsia="Calibri" w:hAnsi="Calibri" w:cs="Calibri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Łopacińska</dc:creator>
  <cp:keywords/>
  <dc:description/>
  <cp:lastModifiedBy>Tomasz Zgierski</cp:lastModifiedBy>
  <cp:revision>2</cp:revision>
  <dcterms:created xsi:type="dcterms:W3CDTF">2023-09-15T06:59:00Z</dcterms:created>
  <dcterms:modified xsi:type="dcterms:W3CDTF">2023-09-15T06:59:00Z</dcterms:modified>
</cp:coreProperties>
</file>